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17550" w14:textId="77777777" w:rsidR="0059726B" w:rsidRDefault="0059726B">
      <w:pPr>
        <w:spacing w:before="600"/>
      </w:pPr>
    </w:p>
    <w:p w14:paraId="3BFE78DF" w14:textId="13643096" w:rsidR="0059726B" w:rsidRPr="003C2545" w:rsidRDefault="00000000">
      <w:pPr>
        <w:spacing w:after="60"/>
        <w:jc w:val="center"/>
        <w:rPr>
          <w:lang w:val="en-CA"/>
        </w:rPr>
      </w:pPr>
      <w:r w:rsidRPr="003C2545">
        <w:rPr>
          <w:b/>
          <w:bCs/>
          <w:caps/>
          <w:color w:val="2E75B6"/>
          <w:sz w:val="24"/>
          <w:szCs w:val="24"/>
          <w:lang w:val="en-CA"/>
        </w:rPr>
        <w:t xml:space="preserve">APPENDIX </w:t>
      </w:r>
      <w:r w:rsidR="003C2545">
        <w:rPr>
          <w:b/>
          <w:bCs/>
          <w:caps/>
          <w:color w:val="2E75B6"/>
          <w:sz w:val="24"/>
          <w:szCs w:val="24"/>
          <w:lang w:val="en-CA"/>
        </w:rPr>
        <w:t>B</w:t>
      </w:r>
    </w:p>
    <w:p w14:paraId="2C6FD1C3" w14:textId="77777777" w:rsidR="0059726B" w:rsidRPr="003C2545" w:rsidRDefault="00000000">
      <w:pPr>
        <w:spacing w:after="160"/>
        <w:jc w:val="center"/>
        <w:rPr>
          <w:lang w:val="en-CA"/>
        </w:rPr>
      </w:pPr>
      <w:r w:rsidRPr="003C2545">
        <w:rPr>
          <w:b/>
          <w:bCs/>
          <w:color w:val="1F4E79"/>
          <w:sz w:val="40"/>
          <w:szCs w:val="40"/>
          <w:lang w:val="en-CA"/>
        </w:rPr>
        <w:t>Shared Data Products &amp; Domain Clustering</w:t>
      </w:r>
    </w:p>
    <w:p w14:paraId="58CEFC02" w14:textId="77777777" w:rsidR="0059726B" w:rsidRPr="003C2545" w:rsidRDefault="00000000">
      <w:pPr>
        <w:spacing w:after="60"/>
        <w:jc w:val="center"/>
        <w:rPr>
          <w:lang w:val="en-CA"/>
        </w:rPr>
      </w:pPr>
      <w:r w:rsidRPr="003C2545">
        <w:rPr>
          <w:color w:val="444444"/>
          <w:sz w:val="24"/>
          <w:szCs w:val="24"/>
          <w:lang w:val="en-CA"/>
        </w:rPr>
        <w:t>Databricks-primary Architecture — v8.0</w:t>
      </w:r>
    </w:p>
    <w:p w14:paraId="17A6AE39" w14:textId="77777777" w:rsidR="0059726B" w:rsidRPr="003C2545" w:rsidRDefault="00000000">
      <w:pPr>
        <w:spacing w:after="600"/>
        <w:jc w:val="center"/>
        <w:rPr>
          <w:lang w:val="en-CA"/>
        </w:rPr>
      </w:pPr>
      <w:r w:rsidRPr="003C2545">
        <w:rPr>
          <w:i/>
          <w:iCs/>
          <w:color w:val="888888"/>
          <w:lang w:val="en-CA"/>
        </w:rPr>
        <w:t>Greenfield | Architecture &amp; Data Engineering Practice</w:t>
      </w:r>
    </w:p>
    <w:p w14:paraId="70767DD9" w14:textId="77777777" w:rsidR="0059726B" w:rsidRPr="003C2545" w:rsidRDefault="0059726B">
      <w:pPr>
        <w:pBdr>
          <w:bottom w:val="single" w:sz="8" w:space="1" w:color="2E75B6"/>
        </w:pBdr>
        <w:spacing w:before="120" w:after="120"/>
        <w:rPr>
          <w:lang w:val="en-CA"/>
        </w:rPr>
      </w:pPr>
    </w:p>
    <w:p w14:paraId="0CC6D011" w14:textId="77777777" w:rsidR="0059726B" w:rsidRPr="003C2545" w:rsidRDefault="0059726B">
      <w:pPr>
        <w:spacing w:before="60"/>
        <w:rPr>
          <w:lang w:val="en-CA"/>
        </w:rPr>
      </w:pPr>
    </w:p>
    <w:p w14:paraId="4228D4BF" w14:textId="77777777" w:rsidR="0059726B" w:rsidRPr="003C2545" w:rsidRDefault="00000000">
      <w:pPr>
        <w:jc w:val="center"/>
        <w:rPr>
          <w:lang w:val="en-CA"/>
        </w:rPr>
      </w:pPr>
      <w:r w:rsidRPr="003C2545">
        <w:rPr>
          <w:color w:val="888888"/>
          <w:sz w:val="18"/>
          <w:szCs w:val="18"/>
          <w:lang w:val="en-CA"/>
        </w:rPr>
        <w:t>Classification: Internal — Confidential</w:t>
      </w:r>
    </w:p>
    <w:p w14:paraId="3376828C" w14:textId="77777777" w:rsidR="0059726B" w:rsidRPr="003C2545" w:rsidRDefault="00000000">
      <w:pPr>
        <w:jc w:val="center"/>
        <w:rPr>
          <w:lang w:val="en-CA"/>
        </w:rPr>
      </w:pPr>
      <w:r w:rsidRPr="003C2545">
        <w:rPr>
          <w:color w:val="888888"/>
          <w:sz w:val="18"/>
          <w:szCs w:val="18"/>
          <w:lang w:val="en-CA"/>
        </w:rPr>
        <w:t>March 2026</w:t>
      </w:r>
    </w:p>
    <w:p w14:paraId="647B028F" w14:textId="77777777" w:rsidR="0059726B" w:rsidRPr="003C2545" w:rsidRDefault="00000000">
      <w:pPr>
        <w:rPr>
          <w:lang w:val="en-CA"/>
        </w:rPr>
      </w:pPr>
      <w:r w:rsidRPr="003C2545">
        <w:rPr>
          <w:lang w:val="en-CA"/>
        </w:rPr>
        <w:br w:type="page"/>
      </w:r>
    </w:p>
    <w:p w14:paraId="5E1E0FA6" w14:textId="77777777" w:rsidR="0059726B" w:rsidRPr="003C2545" w:rsidRDefault="00000000">
      <w:pPr>
        <w:pStyle w:val="Titre1"/>
        <w:spacing w:before="360" w:after="120"/>
        <w:rPr>
          <w:lang w:val="en-CA"/>
        </w:rPr>
      </w:pPr>
      <w:r w:rsidRPr="003C2545">
        <w:rPr>
          <w:b/>
          <w:bCs/>
          <w:color w:val="1F4E79"/>
          <w:lang w:val="en-CA"/>
        </w:rPr>
        <w:lastRenderedPageBreak/>
        <w:t>1.  Shared Data Products</w:t>
      </w:r>
    </w:p>
    <w:p w14:paraId="424B3C21" w14:textId="77777777" w:rsidR="0059726B" w:rsidRPr="003C2545" w:rsidRDefault="0059726B">
      <w:pPr>
        <w:pBdr>
          <w:bottom w:val="single" w:sz="8" w:space="1" w:color="2E75B6"/>
        </w:pBdr>
        <w:spacing w:before="120" w:after="120"/>
        <w:rPr>
          <w:lang w:val="en-CA"/>
        </w:rPr>
      </w:pPr>
    </w:p>
    <w:p w14:paraId="5B4E9C3F" w14:textId="77777777" w:rsidR="0059726B" w:rsidRPr="003C2545" w:rsidRDefault="0059726B">
      <w:pPr>
        <w:spacing w:before="80"/>
        <w:rPr>
          <w:lang w:val="en-CA"/>
        </w:rPr>
      </w:pPr>
    </w:p>
    <w:p w14:paraId="71CD0A0E" w14:textId="77777777" w:rsidR="0059726B" w:rsidRPr="003C2545" w:rsidRDefault="00000000">
      <w:pPr>
        <w:pStyle w:val="Titre2"/>
        <w:spacing w:before="280" w:after="80"/>
        <w:rPr>
          <w:lang w:val="en-CA"/>
        </w:rPr>
      </w:pPr>
      <w:r w:rsidRPr="003C2545">
        <w:rPr>
          <w:b/>
          <w:bCs/>
          <w:color w:val="2E75B6"/>
          <w:lang w:val="en-CA"/>
        </w:rPr>
        <w:t>1.1  Definition &amp; Scope</w:t>
      </w:r>
    </w:p>
    <w:p w14:paraId="6207ADE0" w14:textId="77777777" w:rsidR="0059726B" w:rsidRPr="003C2545" w:rsidRDefault="00000000">
      <w:pPr>
        <w:spacing w:before="60" w:after="100"/>
        <w:rPr>
          <w:lang w:val="en-CA"/>
        </w:rPr>
      </w:pPr>
      <w:r w:rsidRPr="003C2545">
        <w:rPr>
          <w:lang w:val="en-CA"/>
        </w:rPr>
        <w:t>Shared data products are cross-cutting Gold-layer assets owned centrally by the Architecture &amp; Data Engineering practice, under the Chief Data Officer, and consumed by multiple business domains. They represent canonical, contractual datasets whose quality, schema stability, and SLA are enforced at the platform level rather than within any individual domain.</w:t>
      </w:r>
    </w:p>
    <w:p w14:paraId="5BA64EB4" w14:textId="77777777" w:rsidR="0059726B" w:rsidRPr="003C2545" w:rsidRDefault="0059726B">
      <w:pPr>
        <w:spacing w:before="60"/>
        <w:rPr>
          <w:lang w:val="en-CA"/>
        </w:rPr>
      </w:pPr>
    </w:p>
    <w:p w14:paraId="1626318D" w14:textId="77777777" w:rsidR="0059726B" w:rsidRPr="003C2545" w:rsidRDefault="00000000">
      <w:pPr>
        <w:spacing w:before="60" w:after="100"/>
        <w:rPr>
          <w:lang w:val="en-CA"/>
        </w:rPr>
      </w:pPr>
      <w:r w:rsidRPr="003C2545">
        <w:rPr>
          <w:b/>
          <w:bCs/>
          <w:lang w:val="en-CA"/>
        </w:rPr>
        <w:t>At Greenfield, the primary candidates for shared data products are:</w:t>
      </w:r>
    </w:p>
    <w:p w14:paraId="52479FC0" w14:textId="77777777" w:rsidR="0059726B" w:rsidRPr="003C2545" w:rsidRDefault="00000000">
      <w:pPr>
        <w:pStyle w:val="Paragraphedeliste"/>
        <w:numPr>
          <w:ilvl w:val="0"/>
          <w:numId w:val="2"/>
        </w:numPr>
        <w:spacing w:before="40" w:after="40"/>
        <w:rPr>
          <w:lang w:val="en-CA"/>
        </w:rPr>
      </w:pPr>
      <w:r w:rsidRPr="003C2545">
        <w:rPr>
          <w:lang w:val="en-CA"/>
        </w:rPr>
        <w:t>Customer 360 (party profile, household, segmentation)</w:t>
      </w:r>
    </w:p>
    <w:p w14:paraId="20C86510" w14:textId="77777777" w:rsidR="0059726B" w:rsidRPr="003C2545" w:rsidRDefault="00000000">
      <w:pPr>
        <w:pStyle w:val="Paragraphedeliste"/>
        <w:numPr>
          <w:ilvl w:val="0"/>
          <w:numId w:val="2"/>
        </w:numPr>
        <w:spacing w:before="40" w:after="40"/>
        <w:rPr>
          <w:lang w:val="en-CA"/>
        </w:rPr>
      </w:pPr>
      <w:r w:rsidRPr="003C2545">
        <w:rPr>
          <w:lang w:val="en-CA"/>
        </w:rPr>
        <w:t>Counterparty and reference data (country codes, currency rates, product catalogue)</w:t>
      </w:r>
    </w:p>
    <w:p w14:paraId="42D9E842" w14:textId="77777777" w:rsidR="0059726B" w:rsidRPr="003C2545" w:rsidRDefault="00000000">
      <w:pPr>
        <w:pStyle w:val="Paragraphedeliste"/>
        <w:numPr>
          <w:ilvl w:val="0"/>
          <w:numId w:val="2"/>
        </w:numPr>
        <w:spacing w:before="40" w:after="40"/>
        <w:rPr>
          <w:lang w:val="en-CA"/>
        </w:rPr>
      </w:pPr>
      <w:r w:rsidRPr="003C2545">
        <w:rPr>
          <w:lang w:val="en-CA"/>
        </w:rPr>
        <w:t>Enterprise risk scores (credit score, AML flags, fraud indicators)</w:t>
      </w:r>
    </w:p>
    <w:p w14:paraId="3CB016D3" w14:textId="77777777" w:rsidR="0059726B" w:rsidRPr="003C2545" w:rsidRDefault="00000000">
      <w:pPr>
        <w:pStyle w:val="Paragraphedeliste"/>
        <w:numPr>
          <w:ilvl w:val="0"/>
          <w:numId w:val="2"/>
        </w:numPr>
        <w:spacing w:before="40" w:after="40"/>
        <w:rPr>
          <w:lang w:val="en-CA"/>
        </w:rPr>
      </w:pPr>
      <w:r w:rsidRPr="003C2545">
        <w:rPr>
          <w:lang w:val="en-CA"/>
        </w:rPr>
        <w:t>Financial calendar and regulatory reporting datasets</w:t>
      </w:r>
    </w:p>
    <w:p w14:paraId="4A68773E" w14:textId="77777777" w:rsidR="0059726B" w:rsidRPr="003C2545" w:rsidRDefault="0059726B">
      <w:pPr>
        <w:spacing w:before="80"/>
        <w:rPr>
          <w:lang w:val="en-CA"/>
        </w:rPr>
      </w:pPr>
    </w:p>
    <w:p w14:paraId="24B35027" w14:textId="77777777" w:rsidR="0059726B" w:rsidRPr="003C2545" w:rsidRDefault="00000000">
      <w:pPr>
        <w:pStyle w:val="Titre2"/>
        <w:spacing w:before="280" w:after="80"/>
        <w:rPr>
          <w:lang w:val="en-CA"/>
        </w:rPr>
      </w:pPr>
      <w:r w:rsidRPr="003C2545">
        <w:rPr>
          <w:b/>
          <w:bCs/>
          <w:color w:val="2E75B6"/>
          <w:lang w:val="en-CA"/>
        </w:rPr>
        <w:t>1.2  Unity Catalog Structure</w:t>
      </w:r>
    </w:p>
    <w:p w14:paraId="0E16BEB7" w14:textId="77777777" w:rsidR="0059726B" w:rsidRPr="003C2545" w:rsidRDefault="00000000">
      <w:pPr>
        <w:spacing w:before="60" w:after="100"/>
        <w:rPr>
          <w:lang w:val="en-CA"/>
        </w:rPr>
      </w:pPr>
      <w:r w:rsidRPr="003C2545">
        <w:rPr>
          <w:lang w:val="en-CA"/>
        </w:rPr>
        <w:t>A dedicated catalog acts as the enterprise product registry. This is the only catalog where cross-domain consumers read without going through a domain team. All other sector catalogs enforce domain ownership.</w:t>
      </w:r>
    </w:p>
    <w:p w14:paraId="199F1E17" w14:textId="77777777" w:rsidR="0059726B" w:rsidRPr="003C2545" w:rsidRDefault="0059726B">
      <w:pPr>
        <w:spacing w:before="60"/>
        <w:rPr>
          <w:lang w:val="en-CA"/>
        </w:rPr>
      </w:pPr>
    </w:p>
    <w:p w14:paraId="08522742"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unity_catalog  (metastore: greenfield-prod)</w:t>
      </w:r>
    </w:p>
    <w:p w14:paraId="52B8CCB7"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ent_shared                          ← Central shared products catalog</w:t>
      </w:r>
    </w:p>
    <w:p w14:paraId="16927C19"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customer_360</w:t>
      </w:r>
    </w:p>
    <w:p w14:paraId="0CAF88FA"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 gold_party_profile</w:t>
      </w:r>
    </w:p>
    <w:p w14:paraId="452693A5"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 gold_household</w:t>
      </w:r>
    </w:p>
    <w:p w14:paraId="73FAFCF3"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 gold_customer_segment</w:t>
      </w:r>
    </w:p>
    <w:p w14:paraId="7EC6F893"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reference_data</w:t>
      </w:r>
    </w:p>
    <w:p w14:paraId="323B1ACF"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 gold_country_codes</w:t>
      </w:r>
    </w:p>
    <w:p w14:paraId="20805756"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 gold_currency_rates</w:t>
      </w:r>
    </w:p>
    <w:p w14:paraId="76A33370" w14:textId="77777777" w:rsidR="0059726B" w:rsidRPr="003C2545" w:rsidRDefault="00000000">
      <w:pPr>
        <w:shd w:val="clear" w:color="auto" w:fill="F4F4F4"/>
        <w:spacing w:before="40" w:after="40"/>
        <w:ind w:left="360"/>
        <w:rPr>
          <w:lang w:val="en-CA"/>
        </w:rPr>
      </w:pPr>
      <w:r w:rsidRPr="003C2545">
        <w:rPr>
          <w:rFonts w:ascii="Courier New" w:eastAsia="Courier New" w:hAnsi="Courier New" w:cs="Courier New"/>
          <w:color w:val="333333"/>
          <w:sz w:val="18"/>
          <w:szCs w:val="18"/>
          <w:lang w:val="en-CA"/>
        </w:rPr>
        <w:t>│   │   └── gold_product_catalog</w:t>
      </w:r>
    </w:p>
    <w:p w14:paraId="6DF94E8A"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 risk_enterprise</w:t>
      </w:r>
    </w:p>
    <w:p w14:paraId="1046F1E8"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   ├── gold_credit_score</w:t>
      </w:r>
    </w:p>
    <w:p w14:paraId="0CBB08CE"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   └── gold_aml_flags</w:t>
      </w:r>
    </w:p>
    <w:p w14:paraId="7E4D9129"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 financial_calendar</w:t>
      </w:r>
    </w:p>
    <w:p w14:paraId="00C6D94B"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banking_prod                        ← Sector catalogs (see §2)</w:t>
      </w:r>
    </w:p>
    <w:p w14:paraId="678ACE69"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insurance_prod</w:t>
      </w:r>
    </w:p>
    <w:p w14:paraId="531D8CE1"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wealth_prod</w:t>
      </w:r>
    </w:p>
    <w:p w14:paraId="2FB266E9" w14:textId="77777777" w:rsidR="0059726B" w:rsidRDefault="0059726B">
      <w:pPr>
        <w:spacing w:before="80"/>
      </w:pPr>
    </w:p>
    <w:p w14:paraId="6A22C3F2" w14:textId="77777777" w:rsidR="0059726B" w:rsidRDefault="00000000">
      <w:pPr>
        <w:pStyle w:val="Titre2"/>
        <w:spacing w:before="280" w:after="80"/>
      </w:pPr>
      <w:r>
        <w:rPr>
          <w:b/>
          <w:bCs/>
          <w:color w:val="2E75B6"/>
        </w:rPr>
        <w:t>1.3  Key Implementation Rules</w:t>
      </w:r>
    </w:p>
    <w:p w14:paraId="52C409CF" w14:textId="77777777" w:rsidR="0059726B" w:rsidRDefault="00000000">
      <w:pPr>
        <w:spacing w:before="60" w:after="100"/>
      </w:pPr>
      <w:r>
        <w:t>The following rules govern the ent_shared catalog:</w:t>
      </w:r>
    </w:p>
    <w:p w14:paraId="45B91D72" w14:textId="77777777" w:rsidR="0059726B" w:rsidRDefault="00000000">
      <w:pPr>
        <w:pStyle w:val="Paragraphedeliste"/>
        <w:numPr>
          <w:ilvl w:val="0"/>
          <w:numId w:val="2"/>
        </w:numPr>
        <w:spacing w:before="40" w:after="40"/>
      </w:pPr>
      <w:r>
        <w:rPr>
          <w:b/>
          <w:bCs/>
        </w:rPr>
        <w:t xml:space="preserve">Ownership. </w:t>
      </w:r>
      <w:r>
        <w:t>Write access is restricted to grp_data_products_central only. Domain teams cannot write directly to ent_shared.</w:t>
      </w:r>
    </w:p>
    <w:p w14:paraId="69AB70AF" w14:textId="77777777" w:rsidR="0059726B" w:rsidRDefault="00000000">
      <w:pPr>
        <w:pStyle w:val="Paragraphedeliste"/>
        <w:numPr>
          <w:ilvl w:val="0"/>
          <w:numId w:val="2"/>
        </w:numPr>
        <w:spacing w:before="40" w:after="40"/>
      </w:pPr>
      <w:r>
        <w:rPr>
          <w:b/>
          <w:bCs/>
        </w:rPr>
        <w:lastRenderedPageBreak/>
        <w:t xml:space="preserve">Promotion path. </w:t>
      </w:r>
      <w:r>
        <w:t>Domain teams contribute via a promotion pipeline: Bronze → Silver in their sector catalog → Gold promoted to ent_shared through a governed merge job subject to data quality gates.</w:t>
      </w:r>
    </w:p>
    <w:p w14:paraId="710ED458" w14:textId="77777777" w:rsidR="0059726B" w:rsidRDefault="00000000">
      <w:pPr>
        <w:pStyle w:val="Paragraphedeliste"/>
        <w:numPr>
          <w:ilvl w:val="0"/>
          <w:numId w:val="2"/>
        </w:numPr>
        <w:spacing w:before="40" w:after="40"/>
      </w:pPr>
      <w:r>
        <w:rPr>
          <w:b/>
          <w:bCs/>
        </w:rPr>
        <w:t xml:space="preserve">Security. </w:t>
      </w:r>
      <w:r>
        <w:t>Row-level security and column masking are applied at the Gold layer in ent_shared. Masking is not delegated to consumers.</w:t>
      </w:r>
    </w:p>
    <w:p w14:paraId="60F52DF3" w14:textId="77777777" w:rsidR="0059726B" w:rsidRDefault="00000000">
      <w:pPr>
        <w:pStyle w:val="Paragraphedeliste"/>
        <w:numPr>
          <w:ilvl w:val="0"/>
          <w:numId w:val="2"/>
        </w:numPr>
        <w:spacing w:before="40" w:after="40"/>
      </w:pPr>
      <w:r>
        <w:rPr>
          <w:b/>
          <w:bCs/>
        </w:rPr>
        <w:t xml:space="preserve">Regulatory compliance. </w:t>
      </w:r>
      <w:r>
        <w:t>Law 25 and OSFI sensitivity tags are enforced via Purview integration with Unity Catalog tags. Each table in ent_shared must carry a purview.sensitivity tag.</w:t>
      </w:r>
    </w:p>
    <w:p w14:paraId="38F0B864" w14:textId="77777777" w:rsidR="0059726B" w:rsidRDefault="00000000">
      <w:pPr>
        <w:pStyle w:val="Paragraphedeliste"/>
        <w:numPr>
          <w:ilvl w:val="0"/>
          <w:numId w:val="2"/>
        </w:numPr>
        <w:spacing w:before="40" w:after="40"/>
      </w:pPr>
      <w:r>
        <w:rPr>
          <w:b/>
          <w:bCs/>
        </w:rPr>
        <w:t xml:space="preserve">Lineage. </w:t>
      </w:r>
      <w:r>
        <w:t>Manta tracks lineage from domain Silver tables into ent_shared Gold, providing end-to-end regulatory lineage.</w:t>
      </w:r>
    </w:p>
    <w:p w14:paraId="05DEAA80" w14:textId="77777777" w:rsidR="0059726B" w:rsidRDefault="0059726B">
      <w:pPr>
        <w:spacing w:before="80"/>
      </w:pPr>
    </w:p>
    <w:p w14:paraId="4A3F9FA1" w14:textId="77777777" w:rsidR="0059726B" w:rsidRDefault="00000000">
      <w:pPr>
        <w:pStyle w:val="Titre2"/>
        <w:spacing w:before="280" w:after="80"/>
      </w:pPr>
      <w:r>
        <w:rPr>
          <w:b/>
          <w:bCs/>
          <w:color w:val="2E75B6"/>
        </w:rPr>
        <w:t>1.4  Data Product Contract</w:t>
      </w:r>
    </w:p>
    <w:p w14:paraId="05DBC6FF" w14:textId="77777777" w:rsidR="0059726B" w:rsidRDefault="00000000">
      <w:pPr>
        <w:spacing w:before="60" w:after="100"/>
      </w:pPr>
      <w:r>
        <w:t>Each object registered in ent_shared must carry a standardised UC table property block declaring ownership, SLA tier, refresh schedule, authorised consumers, minimum DQ score, and Purview sensitivity classification.</w:t>
      </w:r>
    </w:p>
    <w:p w14:paraId="5B6DE081" w14:textId="77777777" w:rsidR="0059726B" w:rsidRDefault="0059726B">
      <w:pPr>
        <w:spacing w:before="60"/>
      </w:pPr>
    </w:p>
    <w:p w14:paraId="214A93BA"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TBLPROPERTIES (</w:t>
      </w:r>
    </w:p>
    <w:p w14:paraId="4511F866"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'product.owner'        = 'data-products-central@greenfield.ca',</w:t>
      </w:r>
    </w:p>
    <w:p w14:paraId="5D7332E0"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'product.sla_tier'     = 'gold',        -- gold / silver / bronze</w:t>
      </w:r>
    </w:p>
    <w:p w14:paraId="2773A2B4"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'product.refresh_freq' = 'daily_06h00',</w:t>
      </w:r>
    </w:p>
    <w:p w14:paraId="1A359960"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'product.consumers'    = 'banking,insurance,wealth',</w:t>
      </w:r>
    </w:p>
    <w:p w14:paraId="1549C461"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'product.dq_score_min' = '0.98',</w:t>
      </w:r>
    </w:p>
    <w:p w14:paraId="49FF822C"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'purview.sensitivity'  = 'confidential'</w:t>
      </w:r>
    </w:p>
    <w:p w14:paraId="6A31B004"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w:t>
      </w:r>
    </w:p>
    <w:p w14:paraId="0F3A8816" w14:textId="77777777" w:rsidR="0059726B" w:rsidRDefault="0059726B">
      <w:pPr>
        <w:spacing w:before="80"/>
      </w:pPr>
    </w:p>
    <w:p w14:paraId="5383666B" w14:textId="77777777" w:rsidR="0059726B" w:rsidRDefault="00000000">
      <w:pPr>
        <w:pStyle w:val="Titre2"/>
        <w:spacing w:before="280" w:after="80"/>
      </w:pPr>
      <w:r>
        <w:rPr>
          <w:b/>
          <w:bCs/>
          <w:color w:val="2E75B6"/>
        </w:rPr>
        <w:t>1.5  Delta Sharing for External Consumers</w:t>
      </w:r>
    </w:p>
    <w:p w14:paraId="72FCFA13" w14:textId="77777777" w:rsidR="0059726B" w:rsidRDefault="00000000">
      <w:pPr>
        <w:spacing w:before="60" w:after="100"/>
      </w:pPr>
      <w:r>
        <w:t>Consumers outside the Databricks metastore — SAS Viya actuarial jobs, Microsoft Fabric semantic models, third-party risk platforms — access shared products through Delta Sharing. One recipient is provisioned per sector to maintain audit isolation.</w:t>
      </w:r>
    </w:p>
    <w:p w14:paraId="6E12979F" w14:textId="77777777" w:rsidR="0059726B" w:rsidRDefault="0059726B">
      <w:pPr>
        <w:spacing w:before="60"/>
      </w:pPr>
    </w:p>
    <w:p w14:paraId="5A4F9E2E"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CREATE SHARE banking_shared_products;</w:t>
      </w:r>
    </w:p>
    <w:p w14:paraId="3B742872"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ADD TABLE ent_shared.customer_360.gold_party_profile</w:t>
      </w:r>
    </w:p>
    <w:p w14:paraId="7240802B"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TO SHARE banking_shared_products;</w:t>
      </w:r>
    </w:p>
    <w:p w14:paraId="2F81DAE6" w14:textId="77777777" w:rsidR="0059726B" w:rsidRDefault="0059726B">
      <w:pPr>
        <w:shd w:val="clear" w:color="auto" w:fill="F4F4F4"/>
        <w:spacing w:before="40" w:after="40"/>
        <w:ind w:left="360"/>
      </w:pPr>
    </w:p>
    <w:p w14:paraId="23B764FA"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CREATE RECIPIENT banking_recipient USING ID '&lt;recipient_id&gt;';</w:t>
      </w:r>
    </w:p>
    <w:p w14:paraId="4DA97FDE"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GRANT SELECT ON SHARE banking_shared_products</w:t>
      </w:r>
    </w:p>
    <w:p w14:paraId="7A9B5890"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TO RECIPIENT banking_recipient;</w:t>
      </w:r>
    </w:p>
    <w:p w14:paraId="34A18240" w14:textId="77777777" w:rsidR="0059726B" w:rsidRDefault="00000000">
      <w:r>
        <w:br w:type="page"/>
      </w:r>
    </w:p>
    <w:p w14:paraId="330EA758" w14:textId="77777777" w:rsidR="0059726B" w:rsidRDefault="00000000">
      <w:pPr>
        <w:pStyle w:val="Titre1"/>
        <w:spacing w:before="360" w:after="120"/>
      </w:pPr>
      <w:r>
        <w:rPr>
          <w:b/>
          <w:bCs/>
          <w:color w:val="1F4E79"/>
        </w:rPr>
        <w:lastRenderedPageBreak/>
        <w:t>2.  Clustering Data Domains by Business Sector</w:t>
      </w:r>
    </w:p>
    <w:p w14:paraId="5436A97E" w14:textId="77777777" w:rsidR="0059726B" w:rsidRDefault="0059726B">
      <w:pPr>
        <w:pBdr>
          <w:bottom w:val="single" w:sz="8" w:space="1" w:color="2E75B6"/>
        </w:pBdr>
        <w:spacing w:before="120" w:after="120"/>
      </w:pPr>
    </w:p>
    <w:p w14:paraId="50112E66" w14:textId="77777777" w:rsidR="0059726B" w:rsidRDefault="0059726B">
      <w:pPr>
        <w:spacing w:before="80"/>
      </w:pPr>
    </w:p>
    <w:p w14:paraId="3E2DE0E9" w14:textId="77777777" w:rsidR="0059726B" w:rsidRDefault="00000000">
      <w:pPr>
        <w:pStyle w:val="Titre2"/>
        <w:spacing w:before="280" w:after="80"/>
      </w:pPr>
      <w:r>
        <w:rPr>
          <w:b/>
          <w:bCs/>
          <w:color w:val="2E75B6"/>
        </w:rPr>
        <w:t>2.1  Sector Taxonomy</w:t>
      </w:r>
    </w:p>
    <w:p w14:paraId="011A2D08" w14:textId="77777777" w:rsidR="0059726B" w:rsidRDefault="00000000">
      <w:pPr>
        <w:spacing w:before="60" w:after="100"/>
      </w:pPr>
      <w:r>
        <w:t>Greenfield’s business domains are grouped into three sector clusters plus an enterprise-wide transversal cluster. This taxonomy drives the Unity Catalog topology, IAM boundaries, and data stewardship model.</w:t>
      </w:r>
    </w:p>
    <w:p w14:paraId="643E2BF9" w14:textId="77777777" w:rsidR="0059726B" w:rsidRDefault="0059726B">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6160"/>
      </w:tblGrid>
      <w:tr w:rsidR="0059726B" w14:paraId="6E31B035" w14:textId="77777777">
        <w:tblPrEx>
          <w:tblCellMar>
            <w:top w:w="0" w:type="dxa"/>
            <w:bottom w:w="0" w:type="dxa"/>
          </w:tblCellMar>
        </w:tblPrEx>
        <w:trPr>
          <w:tblHeader/>
        </w:trPr>
        <w:tc>
          <w:tcPr>
            <w:tcW w:w="320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4029E5C5" w14:textId="77777777" w:rsidR="0059726B" w:rsidRDefault="00000000">
            <w:r>
              <w:rPr>
                <w:b/>
                <w:bCs/>
                <w:color w:val="1F4E79"/>
                <w:sz w:val="20"/>
                <w:szCs w:val="20"/>
              </w:rPr>
              <w:t>Sector Cluster</w:t>
            </w:r>
          </w:p>
        </w:tc>
        <w:tc>
          <w:tcPr>
            <w:tcW w:w="616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2260949B" w14:textId="77777777" w:rsidR="0059726B" w:rsidRDefault="00000000">
            <w:r>
              <w:rPr>
                <w:b/>
                <w:bCs/>
                <w:color w:val="1F4E79"/>
                <w:sz w:val="20"/>
                <w:szCs w:val="20"/>
              </w:rPr>
              <w:t>Business Domains</w:t>
            </w:r>
          </w:p>
        </w:tc>
      </w:tr>
      <w:tr w:rsidR="0059726B" w14:paraId="7F76082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0341E069" w14:textId="77777777" w:rsidR="0059726B" w:rsidRDefault="00000000">
            <w:r>
              <w:rPr>
                <w:color w:val="000000"/>
                <w:sz w:val="20"/>
                <w:szCs w:val="20"/>
              </w:rPr>
              <w:t>Banking</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114AD910" w14:textId="77777777" w:rsidR="0059726B" w:rsidRDefault="00000000">
            <w:r>
              <w:rPr>
                <w:color w:val="000000"/>
                <w:sz w:val="20"/>
                <w:szCs w:val="20"/>
              </w:rPr>
              <w:t>Personal Banking, Enterprise Banking, Credit Cards &amp; Payments</w:t>
            </w:r>
          </w:p>
        </w:tc>
      </w:tr>
      <w:tr w:rsidR="0059726B" w14:paraId="04EBC583"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6E2328F0" w14:textId="77777777" w:rsidR="0059726B" w:rsidRDefault="00000000">
            <w:r>
              <w:rPr>
                <w:color w:val="000000"/>
                <w:sz w:val="20"/>
                <w:szCs w:val="20"/>
              </w:rPr>
              <w:t>Insurance</w:t>
            </w:r>
          </w:p>
        </w:tc>
        <w:tc>
          <w:tcPr>
            <w:tcW w:w="6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55E6738D" w14:textId="77777777" w:rsidR="0059726B" w:rsidRDefault="00000000">
            <w:r>
              <w:rPr>
                <w:color w:val="000000"/>
                <w:sz w:val="20"/>
                <w:szCs w:val="20"/>
              </w:rPr>
              <w:t>Property &amp; Casualty Insurance, Life Insurance</w:t>
            </w:r>
          </w:p>
        </w:tc>
      </w:tr>
      <w:tr w:rsidR="0059726B" w14:paraId="694AEF3D"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6404EB89" w14:textId="77777777" w:rsidR="0059726B" w:rsidRDefault="00000000">
            <w:r>
              <w:rPr>
                <w:color w:val="000000"/>
                <w:sz w:val="20"/>
                <w:szCs w:val="20"/>
              </w:rPr>
              <w:t>Wealth</w:t>
            </w:r>
          </w:p>
        </w:tc>
        <w:tc>
          <w:tcPr>
            <w:tcW w:w="61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2BCCC269" w14:textId="77777777" w:rsidR="0059726B" w:rsidRDefault="00000000">
            <w:r>
              <w:rPr>
                <w:color w:val="000000"/>
                <w:sz w:val="20"/>
                <w:szCs w:val="20"/>
              </w:rPr>
              <w:t>Wealth Management, Investment Services</w:t>
            </w:r>
          </w:p>
        </w:tc>
      </w:tr>
      <w:tr w:rsidR="0059726B" w14:paraId="649082E9"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7AC8E0BB" w14:textId="77777777" w:rsidR="0059726B" w:rsidRDefault="00000000">
            <w:r>
              <w:rPr>
                <w:color w:val="000000"/>
                <w:sz w:val="20"/>
                <w:szCs w:val="20"/>
              </w:rPr>
              <w:t>Enterprise (transversal)</w:t>
            </w:r>
          </w:p>
        </w:tc>
        <w:tc>
          <w:tcPr>
            <w:tcW w:w="61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07626384" w14:textId="77777777" w:rsidR="0059726B" w:rsidRDefault="00000000">
            <w:r>
              <w:rPr>
                <w:color w:val="000000"/>
                <w:sz w:val="20"/>
                <w:szCs w:val="20"/>
              </w:rPr>
              <w:t>Customer 360, Reference Data, Risk &amp; Compliance, Finance &amp; Accounting</w:t>
            </w:r>
          </w:p>
        </w:tc>
      </w:tr>
    </w:tbl>
    <w:p w14:paraId="16FB1B2F" w14:textId="77777777" w:rsidR="0059726B" w:rsidRDefault="0059726B">
      <w:pPr>
        <w:spacing w:before="80"/>
      </w:pPr>
    </w:p>
    <w:p w14:paraId="3A4E9B30" w14:textId="77777777" w:rsidR="0059726B" w:rsidRDefault="00000000">
      <w:pPr>
        <w:pStyle w:val="Titre2"/>
        <w:spacing w:before="280" w:after="80"/>
      </w:pPr>
      <w:r>
        <w:rPr>
          <w:b/>
          <w:bCs/>
          <w:color w:val="2E75B6"/>
        </w:rPr>
        <w:t>2.2  Unity Catalog Topology</w:t>
      </w:r>
    </w:p>
    <w:p w14:paraId="74A4545B" w14:textId="77777777" w:rsidR="0059726B" w:rsidRDefault="00000000">
      <w:pPr>
        <w:spacing w:before="60" w:after="100"/>
      </w:pPr>
      <w:r>
        <w:t>One catalog per sector (not per domain, not per layer) balances governance granularity with operational manageability. Medallion layers are represented as schemas within the catalog. This approach avoids the 15–20 catalog explosion that would result from domain-level catalogs while preserving IAM boundary isolation between sectors.</w:t>
      </w:r>
    </w:p>
    <w:p w14:paraId="5F4511AE" w14:textId="77777777" w:rsidR="0059726B" w:rsidRDefault="0059726B">
      <w:pPr>
        <w:spacing w:before="60"/>
      </w:pPr>
    </w:p>
    <w:p w14:paraId="77C42C54"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banking_prod</w:t>
      </w:r>
    </w:p>
    <w:p w14:paraId="3BE596D7"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personal_banking_bronze / silver / gold</w:t>
      </w:r>
    </w:p>
    <w:p w14:paraId="71D88766"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enterprise_banking_bronze / silver / gold</w:t>
      </w:r>
    </w:p>
    <w:p w14:paraId="1ACF5755"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payments_bronze / silver / gold</w:t>
      </w:r>
    </w:p>
    <w:p w14:paraId="1F561459" w14:textId="77777777" w:rsidR="0059726B" w:rsidRDefault="0059726B">
      <w:pPr>
        <w:shd w:val="clear" w:color="auto" w:fill="F4F4F4"/>
        <w:spacing w:before="40" w:after="40"/>
        <w:ind w:left="360"/>
      </w:pPr>
    </w:p>
    <w:p w14:paraId="44576436"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insurance_prod</w:t>
      </w:r>
    </w:p>
    <w:p w14:paraId="67AC4933"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pc_bronze / pc_silver / pc_gold</w:t>
      </w:r>
    </w:p>
    <w:p w14:paraId="578124B5"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life_bronze / life_silver / life_gold</w:t>
      </w:r>
    </w:p>
    <w:p w14:paraId="106A2546" w14:textId="77777777" w:rsidR="0059726B" w:rsidRDefault="0059726B">
      <w:pPr>
        <w:shd w:val="clear" w:color="auto" w:fill="F4F4F4"/>
        <w:spacing w:before="40" w:after="40"/>
        <w:ind w:left="360"/>
      </w:pPr>
    </w:p>
    <w:p w14:paraId="5324A906"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wealth_prod</w:t>
      </w:r>
    </w:p>
    <w:p w14:paraId="407526AB"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wealth_bronze / wealth_silver / wealth_gold</w:t>
      </w:r>
    </w:p>
    <w:p w14:paraId="69593FA4" w14:textId="77777777" w:rsidR="0059726B" w:rsidRDefault="0059726B">
      <w:pPr>
        <w:shd w:val="clear" w:color="auto" w:fill="F4F4F4"/>
        <w:spacing w:before="40" w:after="40"/>
        <w:ind w:left="360"/>
      </w:pPr>
    </w:p>
    <w:p w14:paraId="1FEB6865"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ent_shared          ← Shared products registry (see §1)</w:t>
      </w:r>
    </w:p>
    <w:p w14:paraId="2510C129" w14:textId="77777777" w:rsidR="0059726B" w:rsidRDefault="0059726B">
      <w:pPr>
        <w:spacing w:before="80"/>
      </w:pPr>
    </w:p>
    <w:p w14:paraId="0ECF0CE7" w14:textId="77777777" w:rsidR="0059726B" w:rsidRDefault="00000000">
      <w:pPr>
        <w:pStyle w:val="Titre2"/>
        <w:spacing w:before="280" w:after="80"/>
      </w:pPr>
      <w:r>
        <w:rPr>
          <w:b/>
          <w:bCs/>
          <w:color w:val="2E75B6"/>
        </w:rPr>
        <w:t>2.3  Environment Isolation</w:t>
      </w:r>
    </w:p>
    <w:p w14:paraId="382EA693" w14:textId="77777777" w:rsidR="0059726B" w:rsidRDefault="00000000">
      <w:pPr>
        <w:spacing w:before="60" w:after="100"/>
      </w:pPr>
      <w:r>
        <w:t>Catalog-per-environment is the Unity Catalog best practice for Databricks-primary on Azure. The structure is replicated across dev, uat, and prod suffixes to support CI/CD promotion pipelines.</w:t>
      </w:r>
    </w:p>
    <w:p w14:paraId="70B93921" w14:textId="77777777" w:rsidR="0059726B" w:rsidRDefault="0059726B">
      <w:pPr>
        <w:spacing w:before="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90"/>
        <w:gridCol w:w="1890"/>
        <w:gridCol w:w="1890"/>
        <w:gridCol w:w="1890"/>
      </w:tblGrid>
      <w:tr w:rsidR="0059726B" w14:paraId="0E3419B1" w14:textId="77777777">
        <w:tblPrEx>
          <w:tblCellMar>
            <w:top w:w="0" w:type="dxa"/>
            <w:bottom w:w="0" w:type="dxa"/>
          </w:tblCellMar>
        </w:tblPrEx>
        <w:trPr>
          <w:tblHeader/>
        </w:trPr>
        <w:tc>
          <w:tcPr>
            <w:tcW w:w="180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0CD19E21" w14:textId="77777777" w:rsidR="0059726B" w:rsidRDefault="00000000">
            <w:r>
              <w:rPr>
                <w:b/>
                <w:bCs/>
                <w:color w:val="1F4E79"/>
                <w:sz w:val="20"/>
                <w:szCs w:val="20"/>
              </w:rPr>
              <w:lastRenderedPageBreak/>
              <w:t>Environment</w:t>
            </w:r>
          </w:p>
        </w:tc>
        <w:tc>
          <w:tcPr>
            <w:tcW w:w="189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60AC041F" w14:textId="77777777" w:rsidR="0059726B" w:rsidRDefault="00000000">
            <w:r>
              <w:rPr>
                <w:b/>
                <w:bCs/>
                <w:color w:val="1F4E79"/>
                <w:sz w:val="20"/>
                <w:szCs w:val="20"/>
              </w:rPr>
              <w:t>Banking</w:t>
            </w:r>
          </w:p>
        </w:tc>
        <w:tc>
          <w:tcPr>
            <w:tcW w:w="189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4226F294" w14:textId="77777777" w:rsidR="0059726B" w:rsidRDefault="00000000">
            <w:r>
              <w:rPr>
                <w:b/>
                <w:bCs/>
                <w:color w:val="1F4E79"/>
                <w:sz w:val="20"/>
                <w:szCs w:val="20"/>
              </w:rPr>
              <w:t>Insurance</w:t>
            </w:r>
          </w:p>
        </w:tc>
        <w:tc>
          <w:tcPr>
            <w:tcW w:w="189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6B34DF05" w14:textId="77777777" w:rsidR="0059726B" w:rsidRDefault="00000000">
            <w:r>
              <w:rPr>
                <w:b/>
                <w:bCs/>
                <w:color w:val="1F4E79"/>
                <w:sz w:val="20"/>
                <w:szCs w:val="20"/>
              </w:rPr>
              <w:t>Wealth</w:t>
            </w:r>
          </w:p>
        </w:tc>
        <w:tc>
          <w:tcPr>
            <w:tcW w:w="189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665CB90D" w14:textId="77777777" w:rsidR="0059726B" w:rsidRDefault="00000000">
            <w:r>
              <w:rPr>
                <w:b/>
                <w:bCs/>
                <w:color w:val="1F4E79"/>
                <w:sz w:val="20"/>
                <w:szCs w:val="20"/>
              </w:rPr>
              <w:t>Enterprise</w:t>
            </w:r>
          </w:p>
        </w:tc>
      </w:tr>
      <w:tr w:rsidR="0059726B" w14:paraId="33623152"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7FCA5956" w14:textId="77777777" w:rsidR="0059726B" w:rsidRDefault="00000000">
            <w:r>
              <w:rPr>
                <w:color w:val="000000"/>
                <w:sz w:val="20"/>
                <w:szCs w:val="20"/>
              </w:rPr>
              <w:t>Development</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10D247BC" w14:textId="77777777" w:rsidR="0059726B" w:rsidRDefault="00000000">
            <w:r>
              <w:rPr>
                <w:color w:val="000000"/>
                <w:sz w:val="20"/>
                <w:szCs w:val="20"/>
              </w:rPr>
              <w:t>banking_dev</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6E16A4C7" w14:textId="77777777" w:rsidR="0059726B" w:rsidRDefault="00000000">
            <w:r>
              <w:rPr>
                <w:color w:val="000000"/>
                <w:sz w:val="20"/>
                <w:szCs w:val="20"/>
              </w:rPr>
              <w:t>insurance_dev</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75BC49F2" w14:textId="77777777" w:rsidR="0059726B" w:rsidRDefault="00000000">
            <w:r>
              <w:rPr>
                <w:color w:val="000000"/>
                <w:sz w:val="20"/>
                <w:szCs w:val="20"/>
              </w:rPr>
              <w:t>wealth_dev</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536DB915" w14:textId="77777777" w:rsidR="0059726B" w:rsidRDefault="00000000">
            <w:r>
              <w:rPr>
                <w:color w:val="000000"/>
                <w:sz w:val="20"/>
                <w:szCs w:val="20"/>
              </w:rPr>
              <w:t>ent_shared_dev</w:t>
            </w:r>
          </w:p>
        </w:tc>
      </w:tr>
      <w:tr w:rsidR="0059726B" w14:paraId="2BFC217B"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590AF6B2" w14:textId="77777777" w:rsidR="0059726B" w:rsidRDefault="00000000">
            <w:r>
              <w:rPr>
                <w:color w:val="000000"/>
                <w:sz w:val="20"/>
                <w:szCs w:val="20"/>
              </w:rPr>
              <w:t>UAT</w:t>
            </w:r>
          </w:p>
        </w:tc>
        <w:tc>
          <w:tcPr>
            <w:tcW w:w="189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14A6F7B0" w14:textId="77777777" w:rsidR="0059726B" w:rsidRDefault="00000000">
            <w:r>
              <w:rPr>
                <w:color w:val="000000"/>
                <w:sz w:val="20"/>
                <w:szCs w:val="20"/>
              </w:rPr>
              <w:t>banking_uat</w:t>
            </w:r>
          </w:p>
        </w:tc>
        <w:tc>
          <w:tcPr>
            <w:tcW w:w="189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6478D96D" w14:textId="77777777" w:rsidR="0059726B" w:rsidRDefault="00000000">
            <w:r>
              <w:rPr>
                <w:color w:val="000000"/>
                <w:sz w:val="20"/>
                <w:szCs w:val="20"/>
              </w:rPr>
              <w:t>insurance_uat</w:t>
            </w:r>
          </w:p>
        </w:tc>
        <w:tc>
          <w:tcPr>
            <w:tcW w:w="189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0B3A172C" w14:textId="77777777" w:rsidR="0059726B" w:rsidRDefault="00000000">
            <w:r>
              <w:rPr>
                <w:color w:val="000000"/>
                <w:sz w:val="20"/>
                <w:szCs w:val="20"/>
              </w:rPr>
              <w:t>wealth_uat</w:t>
            </w:r>
          </w:p>
        </w:tc>
        <w:tc>
          <w:tcPr>
            <w:tcW w:w="189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4E97AE07" w14:textId="77777777" w:rsidR="0059726B" w:rsidRDefault="00000000">
            <w:r>
              <w:rPr>
                <w:color w:val="000000"/>
                <w:sz w:val="20"/>
                <w:szCs w:val="20"/>
              </w:rPr>
              <w:t>ent_shared_uat</w:t>
            </w:r>
          </w:p>
        </w:tc>
      </w:tr>
      <w:tr w:rsidR="0059726B" w14:paraId="155F74C1" w14:textId="77777777">
        <w:tblPrEx>
          <w:tblCellMar>
            <w:top w:w="0" w:type="dxa"/>
            <w:bottom w:w="0" w:type="dxa"/>
          </w:tblCellMar>
        </w:tblPrEx>
        <w:tc>
          <w:tcPr>
            <w:tcW w:w="18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029D247C" w14:textId="77777777" w:rsidR="0059726B" w:rsidRDefault="00000000">
            <w:r>
              <w:rPr>
                <w:color w:val="000000"/>
                <w:sz w:val="20"/>
                <w:szCs w:val="20"/>
              </w:rPr>
              <w:t>Production</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618D5062" w14:textId="77777777" w:rsidR="0059726B" w:rsidRDefault="00000000">
            <w:r>
              <w:rPr>
                <w:color w:val="000000"/>
                <w:sz w:val="20"/>
                <w:szCs w:val="20"/>
              </w:rPr>
              <w:t>banking_prod</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0551A74F" w14:textId="77777777" w:rsidR="0059726B" w:rsidRDefault="00000000">
            <w:r>
              <w:rPr>
                <w:color w:val="000000"/>
                <w:sz w:val="20"/>
                <w:szCs w:val="20"/>
              </w:rPr>
              <w:t>insurance_prod</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288C34CD" w14:textId="77777777" w:rsidR="0059726B" w:rsidRDefault="00000000">
            <w:r>
              <w:rPr>
                <w:color w:val="000000"/>
                <w:sz w:val="20"/>
                <w:szCs w:val="20"/>
              </w:rPr>
              <w:t>wealth_prod</w:t>
            </w:r>
          </w:p>
        </w:tc>
        <w:tc>
          <w:tcPr>
            <w:tcW w:w="189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25D271AB" w14:textId="77777777" w:rsidR="0059726B" w:rsidRDefault="00000000">
            <w:r>
              <w:rPr>
                <w:color w:val="000000"/>
                <w:sz w:val="20"/>
                <w:szCs w:val="20"/>
              </w:rPr>
              <w:t>ent_shared</w:t>
            </w:r>
          </w:p>
        </w:tc>
      </w:tr>
    </w:tbl>
    <w:p w14:paraId="0A0EDC78" w14:textId="77777777" w:rsidR="0059726B" w:rsidRDefault="0059726B">
      <w:pPr>
        <w:spacing w:before="80"/>
      </w:pPr>
    </w:p>
    <w:p w14:paraId="772C9E97" w14:textId="77777777" w:rsidR="0059726B" w:rsidRDefault="00000000">
      <w:pPr>
        <w:pStyle w:val="Titre2"/>
        <w:spacing w:before="280" w:after="80"/>
      </w:pPr>
      <w:r>
        <w:rPr>
          <w:b/>
          <w:bCs/>
          <w:color w:val="2E75B6"/>
        </w:rPr>
        <w:t>2.4  Rationale for Sector-level Catalogs</w:t>
      </w:r>
    </w:p>
    <w:p w14:paraId="05CCED23" w14:textId="77777777" w:rsidR="0059726B" w:rsidRDefault="00000000">
      <w:pPr>
        <w:spacing w:before="60" w:after="100"/>
      </w:pPr>
      <w:r>
        <w:t>Sector-level clustering over domain-level catalogs delivers the following advantages:</w:t>
      </w:r>
    </w:p>
    <w:p w14:paraId="21B208F2" w14:textId="77777777" w:rsidR="0059726B" w:rsidRDefault="00000000">
      <w:pPr>
        <w:pStyle w:val="Paragraphedeliste"/>
        <w:numPr>
          <w:ilvl w:val="0"/>
          <w:numId w:val="2"/>
        </w:numPr>
        <w:spacing w:before="40" w:after="40"/>
      </w:pPr>
      <w:r>
        <w:t>A single IAM boundary per sector. The sector data steward group owns the catalog; domain teams receive schema-level grants only.</w:t>
      </w:r>
    </w:p>
    <w:p w14:paraId="460DEC5A" w14:textId="77777777" w:rsidR="0059726B" w:rsidRDefault="00000000">
      <w:pPr>
        <w:pStyle w:val="Paragraphedeliste"/>
        <w:numPr>
          <w:ilvl w:val="0"/>
          <w:numId w:val="2"/>
        </w:numPr>
        <w:spacing w:before="40" w:after="40"/>
      </w:pPr>
      <w:r>
        <w:t>Intra-sector joins without cross-catalog federation overhead, which improves performance and simplifies query authoring.</w:t>
      </w:r>
    </w:p>
    <w:p w14:paraId="1F311AA1" w14:textId="77777777" w:rsidR="0059726B" w:rsidRDefault="00000000">
      <w:pPr>
        <w:pStyle w:val="Paragraphedeliste"/>
        <w:numPr>
          <w:ilvl w:val="0"/>
          <w:numId w:val="2"/>
        </w:numPr>
        <w:spacing w:before="40" w:after="40"/>
      </w:pPr>
      <w:r>
        <w:t>A simpler Purview collection hierarchy: Purview collections mirror Unity Catalog catalogs 1:1.</w:t>
      </w:r>
    </w:p>
    <w:p w14:paraId="39D7557A" w14:textId="77777777" w:rsidR="0059726B" w:rsidRDefault="00000000">
      <w:pPr>
        <w:pStyle w:val="Paragraphedeliste"/>
        <w:numPr>
          <w:ilvl w:val="0"/>
          <w:numId w:val="2"/>
        </w:numPr>
        <w:spacing w:before="40" w:after="40"/>
      </w:pPr>
      <w:r>
        <w:t>Fewer Delta Sharing endpoints to manage for inter-sector consumption.</w:t>
      </w:r>
    </w:p>
    <w:p w14:paraId="14F6EBA3" w14:textId="77777777" w:rsidR="0059726B" w:rsidRDefault="0059726B">
      <w:pPr>
        <w:spacing w:before="80"/>
      </w:pPr>
    </w:p>
    <w:p w14:paraId="5FBA762C" w14:textId="77777777" w:rsidR="0059726B" w:rsidRDefault="00000000">
      <w:pPr>
        <w:pStyle w:val="Titre2"/>
        <w:spacing w:before="280" w:after="80"/>
      </w:pPr>
      <w:r>
        <w:rPr>
          <w:b/>
          <w:bCs/>
          <w:color w:val="2E75B6"/>
        </w:rPr>
        <w:t>2.5  Stewardship Model</w:t>
      </w:r>
    </w:p>
    <w:p w14:paraId="0F546B66" w14:textId="77777777" w:rsidR="0059726B" w:rsidRDefault="00000000">
      <w:pPr>
        <w:spacing w:before="60" w:after="100"/>
      </w:pPr>
      <w:r>
        <w:t>Each sector catalog maps to a Sector Data Owner role. Domain teams within a sector receive schema-level grants — never catalog-level — enforcing the least-privilege principle.</w:t>
      </w:r>
    </w:p>
    <w:p w14:paraId="34A8F3BC" w14:textId="77777777" w:rsidR="0059726B" w:rsidRDefault="0059726B">
      <w:pPr>
        <w:spacing w:before="60"/>
      </w:pPr>
    </w:p>
    <w:p w14:paraId="509B384E"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Catalog-level grants (sector stewards only)</w:t>
      </w:r>
    </w:p>
    <w:p w14:paraId="6DCBED56"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GRANT MANAGE ON CATALOG banking_prod   TO grp_uc_banking_steward;</w:t>
      </w:r>
    </w:p>
    <w:p w14:paraId="435CF6C0"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GRANT MANAGE ON CATALOG insurance_prod TO grp_uc_insurance_steward;</w:t>
      </w:r>
    </w:p>
    <w:p w14:paraId="6072FCFD"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GRANT MANAGE ON CATALOG wealth_prod    TO grp_uc_wealth_steward;</w:t>
      </w:r>
    </w:p>
    <w:p w14:paraId="36605C90"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GRANT MANAGE ON CATALOG ent_shared     TO grp_uc_enterprise_steward;</w:t>
      </w:r>
    </w:p>
    <w:p w14:paraId="29CBD44F" w14:textId="77777777" w:rsidR="0059726B" w:rsidRDefault="0059726B">
      <w:pPr>
        <w:shd w:val="clear" w:color="auto" w:fill="F4F4F4"/>
        <w:spacing w:before="40" w:after="40"/>
        <w:ind w:left="360"/>
      </w:pPr>
    </w:p>
    <w:p w14:paraId="0B9CA5EE"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Schema-level grants (domain teams)</w:t>
      </w:r>
    </w:p>
    <w:p w14:paraId="13965D07"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GRANT USE SCHEMA, SELECT ON SCHEMA banking_prod.personal_banking_gold</w:t>
      </w:r>
    </w:p>
    <w:p w14:paraId="0A7B868D"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TO grp_uc_personal_banking_team;</w:t>
      </w:r>
    </w:p>
    <w:p w14:paraId="3FE57AC2" w14:textId="77777777" w:rsidR="0059726B" w:rsidRDefault="0059726B">
      <w:pPr>
        <w:spacing w:before="80"/>
      </w:pPr>
    </w:p>
    <w:p w14:paraId="61A32C68" w14:textId="77777777" w:rsidR="0059726B" w:rsidRDefault="00000000">
      <w:pPr>
        <w:pStyle w:val="Titre2"/>
        <w:spacing w:before="280" w:after="80"/>
      </w:pPr>
      <w:r>
        <w:rPr>
          <w:b/>
          <w:bCs/>
          <w:color w:val="2E75B6"/>
        </w:rPr>
        <w:t>2.6  Cross-sector Access Pattern</w:t>
      </w:r>
    </w:p>
    <w:p w14:paraId="4BEB7A02" w14:textId="77777777" w:rsidR="0059726B" w:rsidRDefault="00000000">
      <w:pPr>
        <w:spacing w:before="60" w:after="100"/>
      </w:pPr>
      <w:r>
        <w:t>Domain teams in insurance_prod that require Customer 360 data do not read directly from banking_prod. All cross-sector reads are routed through ent_shared, which is the promoted, quality-assured, and contractual product layer. This enforces domain decoupling and ensures that all shared assets pass through the central quality gate, maintaining Law 25 traceability.</w:t>
      </w:r>
    </w:p>
    <w:p w14:paraId="23B46B9B" w14:textId="77777777" w:rsidR="0059726B" w:rsidRDefault="0059726B">
      <w:pPr>
        <w:spacing w:before="60"/>
      </w:pPr>
    </w:p>
    <w:p w14:paraId="5B90DAB8"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Correct: consume via shared product</w:t>
      </w:r>
    </w:p>
    <w:p w14:paraId="5F23B4A3"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SELECT * FROM ent_shared.customer_360.gold_party_profile</w:t>
      </w:r>
    </w:p>
    <w:p w14:paraId="77D5AB5A"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xml:space="preserve">  WHERE party_id IN (...);</w:t>
      </w:r>
    </w:p>
    <w:p w14:paraId="5B1B893D" w14:textId="77777777" w:rsidR="0059726B" w:rsidRDefault="0059726B">
      <w:pPr>
        <w:shd w:val="clear" w:color="auto" w:fill="F4F4F4"/>
        <w:spacing w:before="40" w:after="40"/>
        <w:ind w:left="360"/>
      </w:pPr>
    </w:p>
    <w:p w14:paraId="4A6CD86E"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Incorrect: direct cross-sector read (blocked by UC permissions)</w:t>
      </w:r>
    </w:p>
    <w:p w14:paraId="4CB7C3AF" w14:textId="77777777" w:rsidR="0059726B" w:rsidRDefault="00000000">
      <w:pPr>
        <w:shd w:val="clear" w:color="auto" w:fill="F4F4F4"/>
        <w:spacing w:before="40" w:after="40"/>
        <w:ind w:left="360"/>
      </w:pPr>
      <w:r>
        <w:rPr>
          <w:rFonts w:ascii="Courier New" w:eastAsia="Courier New" w:hAnsi="Courier New" w:cs="Courier New"/>
          <w:color w:val="333333"/>
          <w:sz w:val="18"/>
          <w:szCs w:val="18"/>
        </w:rPr>
        <w:t>-- SELECT * FROM banking_prod.personal_banking_gold.party  -- DENIED</w:t>
      </w:r>
    </w:p>
    <w:p w14:paraId="40DAF49B" w14:textId="77777777" w:rsidR="0059726B" w:rsidRDefault="00000000">
      <w:r>
        <w:lastRenderedPageBreak/>
        <w:br w:type="page"/>
      </w:r>
    </w:p>
    <w:p w14:paraId="2AE6A498" w14:textId="77777777" w:rsidR="0059726B" w:rsidRDefault="00000000">
      <w:pPr>
        <w:pStyle w:val="Titre1"/>
        <w:spacing w:before="360" w:after="120"/>
      </w:pPr>
      <w:r>
        <w:rPr>
          <w:b/>
          <w:bCs/>
          <w:color w:val="1F4E79"/>
        </w:rPr>
        <w:lastRenderedPageBreak/>
        <w:t>3.  Summary — Key Decisions</w:t>
      </w:r>
    </w:p>
    <w:p w14:paraId="6D451D3A" w14:textId="77777777" w:rsidR="0059726B" w:rsidRDefault="0059726B">
      <w:pPr>
        <w:pBdr>
          <w:bottom w:val="single" w:sz="8" w:space="1" w:color="2E75B6"/>
        </w:pBdr>
        <w:spacing w:before="120" w:after="120"/>
      </w:pPr>
    </w:p>
    <w:p w14:paraId="0F7F3B40" w14:textId="77777777" w:rsidR="0059726B" w:rsidRDefault="0059726B">
      <w:pPr>
        <w:spacing w:before="80"/>
      </w:pPr>
    </w:p>
    <w:p w14:paraId="1F10BF6C" w14:textId="77777777" w:rsidR="0059726B" w:rsidRDefault="00000000">
      <w:pPr>
        <w:spacing w:before="60" w:after="100"/>
      </w:pPr>
      <w:r>
        <w:t>The following table consolidates the architectural decisions documented in this appendix, with rationale and recommended posture.</w:t>
      </w:r>
    </w:p>
    <w:p w14:paraId="608C5C69" w14:textId="77777777" w:rsidR="0059726B" w:rsidRDefault="0059726B">
      <w:pPr>
        <w:spacing w:before="8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600"/>
        <w:gridCol w:w="3200"/>
        <w:gridCol w:w="3560"/>
      </w:tblGrid>
      <w:tr w:rsidR="0059726B" w14:paraId="5D045B17" w14:textId="77777777">
        <w:tblPrEx>
          <w:tblCellMar>
            <w:top w:w="0" w:type="dxa"/>
            <w:bottom w:w="0" w:type="dxa"/>
          </w:tblCellMar>
        </w:tblPrEx>
        <w:trPr>
          <w:tblHeader/>
        </w:trPr>
        <w:tc>
          <w:tcPr>
            <w:tcW w:w="260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03C2219B" w14:textId="77777777" w:rsidR="0059726B" w:rsidRDefault="00000000">
            <w:r>
              <w:rPr>
                <w:b/>
                <w:bCs/>
                <w:color w:val="1F4E79"/>
                <w:sz w:val="20"/>
                <w:szCs w:val="20"/>
              </w:rPr>
              <w:t>Decision Point</w:t>
            </w:r>
          </w:p>
        </w:tc>
        <w:tc>
          <w:tcPr>
            <w:tcW w:w="320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498FFBA5" w14:textId="77777777" w:rsidR="0059726B" w:rsidRDefault="00000000">
            <w:r>
              <w:rPr>
                <w:b/>
                <w:bCs/>
                <w:color w:val="1F4E79"/>
                <w:sz w:val="20"/>
                <w:szCs w:val="20"/>
              </w:rPr>
              <w:t>Recommended Posture</w:t>
            </w:r>
          </w:p>
        </w:tc>
        <w:tc>
          <w:tcPr>
            <w:tcW w:w="3560" w:type="dxa"/>
            <w:tcBorders>
              <w:top w:val="single" w:sz="1" w:space="0" w:color="2E75B6"/>
              <w:left w:val="single" w:sz="1" w:space="0" w:color="2E75B6"/>
              <w:bottom w:val="single" w:sz="1" w:space="0" w:color="2E75B6"/>
              <w:right w:val="single" w:sz="1" w:space="0" w:color="2E75B6"/>
            </w:tcBorders>
            <w:shd w:val="clear" w:color="auto" w:fill="D6E4F0"/>
            <w:tcMar>
              <w:top w:w="80" w:type="dxa"/>
              <w:left w:w="140" w:type="dxa"/>
              <w:bottom w:w="80" w:type="dxa"/>
              <w:right w:w="140" w:type="dxa"/>
            </w:tcMar>
            <w:vAlign w:val="center"/>
          </w:tcPr>
          <w:p w14:paraId="33B5B598" w14:textId="77777777" w:rsidR="0059726B" w:rsidRDefault="00000000">
            <w:r>
              <w:rPr>
                <w:b/>
                <w:bCs/>
                <w:color w:val="1F4E79"/>
                <w:sz w:val="20"/>
                <w:szCs w:val="20"/>
              </w:rPr>
              <w:t>Rationale</w:t>
            </w:r>
          </w:p>
        </w:tc>
      </w:tr>
      <w:tr w:rsidR="0059726B" w14:paraId="1D4E28B4"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0B275727" w14:textId="77777777" w:rsidR="0059726B" w:rsidRDefault="00000000">
            <w:r>
              <w:rPr>
                <w:color w:val="000000"/>
                <w:sz w:val="20"/>
                <w:szCs w:val="20"/>
              </w:rPr>
              <w:t>Shared products catalog</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7F4725D1" w14:textId="77777777" w:rsidR="0059726B" w:rsidRDefault="00000000">
            <w:r>
              <w:rPr>
                <w:color w:val="000000"/>
                <w:sz w:val="20"/>
                <w:szCs w:val="20"/>
              </w:rPr>
              <w:t>Single ent_shared catalog, centrally owned by grp_data_products_central</w:t>
            </w:r>
          </w:p>
        </w:tc>
        <w:tc>
          <w:tcPr>
            <w:tcW w:w="3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6782BB09" w14:textId="77777777" w:rsidR="0059726B" w:rsidRDefault="00000000">
            <w:r>
              <w:rPr>
                <w:color w:val="000000"/>
                <w:sz w:val="20"/>
                <w:szCs w:val="20"/>
              </w:rPr>
              <w:t>Avoids replication across sectors; single governance and quality control point</w:t>
            </w:r>
          </w:p>
        </w:tc>
      </w:tr>
      <w:tr w:rsidR="0059726B" w14:paraId="35A17408"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5A7C5276" w14:textId="77777777" w:rsidR="0059726B" w:rsidRDefault="00000000">
            <w:r>
              <w:rPr>
                <w:color w:val="000000"/>
                <w:sz w:val="20"/>
                <w:szCs w:val="20"/>
              </w:rPr>
              <w:t>Sector granularity</w:t>
            </w:r>
          </w:p>
        </w:tc>
        <w:tc>
          <w:tcPr>
            <w:tcW w:w="3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6E74673C" w14:textId="77777777" w:rsidR="0059726B" w:rsidRDefault="00000000">
            <w:r>
              <w:rPr>
                <w:color w:val="000000"/>
                <w:sz w:val="20"/>
                <w:szCs w:val="20"/>
              </w:rPr>
              <w:t>3 sector catalogs (banking, insurance, wealth) + 1 enterprise catalog</w:t>
            </w:r>
          </w:p>
        </w:tc>
        <w:tc>
          <w:tcPr>
            <w:tcW w:w="35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02A957FF" w14:textId="77777777" w:rsidR="0059726B" w:rsidRDefault="00000000">
            <w:r>
              <w:rPr>
                <w:color w:val="000000"/>
                <w:sz w:val="20"/>
                <w:szCs w:val="20"/>
              </w:rPr>
              <w:t>Balances governance granularity with operational and permission complexity</w:t>
            </w:r>
          </w:p>
        </w:tc>
      </w:tr>
      <w:tr w:rsidR="0059726B" w14:paraId="2711D2AE"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0DED18B3" w14:textId="77777777" w:rsidR="0059726B" w:rsidRDefault="00000000">
            <w:r>
              <w:rPr>
                <w:color w:val="000000"/>
                <w:sz w:val="20"/>
                <w:szCs w:val="20"/>
              </w:rPr>
              <w:t>Cross-domain reads</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5BD94193" w14:textId="77777777" w:rsidR="0059726B" w:rsidRDefault="00000000">
            <w:r>
              <w:rPr>
                <w:color w:val="000000"/>
                <w:sz w:val="20"/>
                <w:szCs w:val="20"/>
              </w:rPr>
              <w:t>Via ent_shared only; direct cross-sector reads are blocked by UC permissions</w:t>
            </w:r>
          </w:p>
        </w:tc>
        <w:tc>
          <w:tcPr>
            <w:tcW w:w="3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38B5873C" w14:textId="77777777" w:rsidR="0059726B" w:rsidRDefault="00000000">
            <w:r>
              <w:rPr>
                <w:color w:val="000000"/>
                <w:sz w:val="20"/>
                <w:szCs w:val="20"/>
              </w:rPr>
              <w:t>Enforces product contracts and Law 25 / OSFI lineage traceability</w:t>
            </w:r>
          </w:p>
        </w:tc>
      </w:tr>
      <w:tr w:rsidR="0059726B" w14:paraId="222AB92E"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71CC146E" w14:textId="77777777" w:rsidR="0059726B" w:rsidRDefault="00000000">
            <w:r>
              <w:rPr>
                <w:color w:val="000000"/>
                <w:sz w:val="20"/>
                <w:szCs w:val="20"/>
              </w:rPr>
              <w:t>External consumers</w:t>
            </w:r>
          </w:p>
        </w:tc>
        <w:tc>
          <w:tcPr>
            <w:tcW w:w="3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3D38BB25" w14:textId="77777777" w:rsidR="0059726B" w:rsidRDefault="00000000">
            <w:r>
              <w:rPr>
                <w:color w:val="000000"/>
                <w:sz w:val="20"/>
                <w:szCs w:val="20"/>
              </w:rPr>
              <w:t>Delta Sharing with one recipient per sector</w:t>
            </w:r>
          </w:p>
        </w:tc>
        <w:tc>
          <w:tcPr>
            <w:tcW w:w="35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44704598" w14:textId="77777777" w:rsidR="0059726B" w:rsidRDefault="00000000">
            <w:r>
              <w:rPr>
                <w:color w:val="000000"/>
                <w:sz w:val="20"/>
                <w:szCs w:val="20"/>
              </w:rPr>
              <w:t>Decouples Fabric and SAS Viya from the UC metastore; audit isolation per sector</w:t>
            </w:r>
          </w:p>
        </w:tc>
      </w:tr>
      <w:tr w:rsidR="0059726B" w14:paraId="59E3A1FF"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5C0ECED5" w14:textId="77777777" w:rsidR="0059726B" w:rsidRDefault="00000000">
            <w:r>
              <w:rPr>
                <w:color w:val="000000"/>
                <w:sz w:val="20"/>
                <w:szCs w:val="20"/>
              </w:rPr>
              <w:t>Environment isolation</w:t>
            </w:r>
          </w:p>
        </w:tc>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3F21B944" w14:textId="77777777" w:rsidR="0059726B" w:rsidRDefault="00000000">
            <w:r>
              <w:rPr>
                <w:color w:val="000000"/>
                <w:sz w:val="20"/>
                <w:szCs w:val="20"/>
              </w:rPr>
              <w:t>Catalog-per-environment (_dev / _uat / _prod suffix)</w:t>
            </w:r>
          </w:p>
        </w:tc>
        <w:tc>
          <w:tcPr>
            <w:tcW w:w="35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40" w:type="dxa"/>
              <w:bottom w:w="80" w:type="dxa"/>
              <w:right w:w="140" w:type="dxa"/>
            </w:tcMar>
            <w:vAlign w:val="center"/>
          </w:tcPr>
          <w:p w14:paraId="0BCD3129" w14:textId="77777777" w:rsidR="0059726B" w:rsidRDefault="00000000">
            <w:r>
              <w:rPr>
                <w:color w:val="000000"/>
                <w:sz w:val="20"/>
                <w:szCs w:val="20"/>
              </w:rPr>
              <w:t>Unity Catalog best practice; enables CI/CD promotion pipelines</w:t>
            </w:r>
          </w:p>
        </w:tc>
      </w:tr>
      <w:tr w:rsidR="0059726B" w14:paraId="33D1AEA7" w14:textId="77777777">
        <w:tblPrEx>
          <w:tblCellMar>
            <w:top w:w="0" w:type="dxa"/>
            <w:bottom w:w="0" w:type="dxa"/>
          </w:tblCellMar>
        </w:tblPrEx>
        <w:tc>
          <w:tcPr>
            <w:tcW w:w="26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0CCAA502" w14:textId="77777777" w:rsidR="0059726B" w:rsidRDefault="00000000">
            <w:r>
              <w:rPr>
                <w:color w:val="000000"/>
                <w:sz w:val="20"/>
                <w:szCs w:val="20"/>
              </w:rPr>
              <w:t>Write access to ent_shared</w:t>
            </w:r>
          </w:p>
        </w:tc>
        <w:tc>
          <w:tcPr>
            <w:tcW w:w="32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5528EA62" w14:textId="77777777" w:rsidR="0059726B" w:rsidRDefault="00000000">
            <w:r>
              <w:rPr>
                <w:color w:val="000000"/>
                <w:sz w:val="20"/>
                <w:szCs w:val="20"/>
              </w:rPr>
              <w:t>Restricted to central data product team via governed promotion pipeline</w:t>
            </w:r>
          </w:p>
        </w:tc>
        <w:tc>
          <w:tcPr>
            <w:tcW w:w="35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40" w:type="dxa"/>
              <w:bottom w:w="80" w:type="dxa"/>
              <w:right w:w="140" w:type="dxa"/>
            </w:tcMar>
            <w:vAlign w:val="center"/>
          </w:tcPr>
          <w:p w14:paraId="1DB49555" w14:textId="77777777" w:rsidR="0059726B" w:rsidRDefault="00000000">
            <w:r>
              <w:rPr>
                <w:color w:val="000000"/>
                <w:sz w:val="20"/>
                <w:szCs w:val="20"/>
              </w:rPr>
              <w:t>Prevents ungoverned writes; enforces DQ gates before Gold publication</w:t>
            </w:r>
          </w:p>
        </w:tc>
      </w:tr>
    </w:tbl>
    <w:p w14:paraId="0E260F2B" w14:textId="77777777" w:rsidR="0059726B" w:rsidRDefault="0059726B">
      <w:pPr>
        <w:spacing w:before="200"/>
      </w:pPr>
    </w:p>
    <w:p w14:paraId="65209792" w14:textId="77777777" w:rsidR="0059726B" w:rsidRDefault="0059726B">
      <w:pPr>
        <w:pBdr>
          <w:bottom w:val="single" w:sz="8" w:space="1" w:color="2E75B6"/>
        </w:pBdr>
        <w:spacing w:before="120" w:after="120"/>
      </w:pPr>
    </w:p>
    <w:p w14:paraId="2E63A9A9" w14:textId="77777777" w:rsidR="0059726B" w:rsidRDefault="0059726B">
      <w:pPr>
        <w:spacing w:before="60"/>
      </w:pPr>
    </w:p>
    <w:p w14:paraId="40708845" w14:textId="77777777" w:rsidR="0059726B" w:rsidRDefault="00000000">
      <w:pPr>
        <w:jc w:val="center"/>
      </w:pPr>
      <w:r>
        <w:rPr>
          <w:i/>
          <w:iCs/>
          <w:color w:val="888888"/>
          <w:sz w:val="20"/>
          <w:szCs w:val="20"/>
        </w:rPr>
        <w:t>End of Appendix C</w:t>
      </w:r>
    </w:p>
    <w:sectPr w:rsidR="0059726B">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29B06" w14:textId="77777777" w:rsidR="008473C0" w:rsidRDefault="008473C0">
      <w:r>
        <w:separator/>
      </w:r>
    </w:p>
  </w:endnote>
  <w:endnote w:type="continuationSeparator" w:id="0">
    <w:p w14:paraId="2BA415F7" w14:textId="77777777" w:rsidR="008473C0" w:rsidRDefault="00847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CAAC" w14:textId="77777777" w:rsidR="0059726B" w:rsidRDefault="00000000">
    <w:pPr>
      <w:pBdr>
        <w:top w:val="single" w:sz="6" w:space="1" w:color="2E75B6"/>
      </w:pBdr>
      <w:jc w:val="center"/>
    </w:pPr>
    <w:r>
      <w:rPr>
        <w:color w:val="999999"/>
        <w:sz w:val="16"/>
        <w:szCs w:val="16"/>
      </w:rPr>
      <w:t xml:space="preserve">Confidential — Internal Use Only  |  Page </w:t>
    </w:r>
    <w:r>
      <w:rPr>
        <w:color w:val="999999"/>
        <w:sz w:val="16"/>
        <w:szCs w:val="16"/>
      </w:rPr>
      <w:fldChar w:fldCharType="begin"/>
    </w:r>
    <w:r>
      <w:rPr>
        <w:color w:val="999999"/>
        <w:sz w:val="16"/>
        <w:szCs w:val="16"/>
      </w:rPr>
      <w:instrText>PAGE</w:instrText>
    </w:r>
    <w:r>
      <w:rPr>
        <w:color w:val="999999"/>
        <w:sz w:val="16"/>
        <w:szCs w:val="16"/>
      </w:rPr>
      <w:fldChar w:fldCharType="separate"/>
    </w:r>
    <w:r w:rsidR="003C2545">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7CD1" w14:textId="77777777" w:rsidR="008473C0" w:rsidRDefault="008473C0">
      <w:r>
        <w:separator/>
      </w:r>
    </w:p>
  </w:footnote>
  <w:footnote w:type="continuationSeparator" w:id="0">
    <w:p w14:paraId="04A43D95" w14:textId="77777777" w:rsidR="008473C0" w:rsidRDefault="00847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FBA0" w14:textId="77777777" w:rsidR="0059726B" w:rsidRDefault="00000000">
    <w:pPr>
      <w:pBdr>
        <w:bottom w:val="single" w:sz="6" w:space="1" w:color="2E75B6"/>
      </w:pBdr>
      <w:tabs>
        <w:tab w:val="right" w:pos="7920"/>
      </w:tabs>
    </w:pPr>
    <w:r>
      <w:rPr>
        <w:color w:val="666666"/>
        <w:sz w:val="18"/>
        <w:szCs w:val="18"/>
      </w:rPr>
      <w:t>Greenfield — Modern Data Platform</w:t>
    </w:r>
    <w:r>
      <w:rPr>
        <w:color w:val="666666"/>
        <w:sz w:val="18"/>
        <w:szCs w:val="18"/>
      </w:rPr>
      <w:tab/>
      <w:t>Databricks-primary Architecture (v8.0)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31EB0"/>
    <w:multiLevelType w:val="hybridMultilevel"/>
    <w:tmpl w:val="1D3E563A"/>
    <w:lvl w:ilvl="0" w:tplc="76AAEF52">
      <w:start w:val="1"/>
      <w:numFmt w:val="bullet"/>
      <w:lvlText w:val="●"/>
      <w:lvlJc w:val="left"/>
      <w:pPr>
        <w:ind w:left="720" w:hanging="360"/>
      </w:pPr>
    </w:lvl>
    <w:lvl w:ilvl="1" w:tplc="CACEFD16">
      <w:start w:val="1"/>
      <w:numFmt w:val="bullet"/>
      <w:lvlText w:val="○"/>
      <w:lvlJc w:val="left"/>
      <w:pPr>
        <w:ind w:left="1440" w:hanging="360"/>
      </w:pPr>
    </w:lvl>
    <w:lvl w:ilvl="2" w:tplc="BB203D34">
      <w:start w:val="1"/>
      <w:numFmt w:val="bullet"/>
      <w:lvlText w:val="■"/>
      <w:lvlJc w:val="left"/>
      <w:pPr>
        <w:ind w:left="2160" w:hanging="360"/>
      </w:pPr>
    </w:lvl>
    <w:lvl w:ilvl="3" w:tplc="5D80623A">
      <w:start w:val="1"/>
      <w:numFmt w:val="bullet"/>
      <w:lvlText w:val="●"/>
      <w:lvlJc w:val="left"/>
      <w:pPr>
        <w:ind w:left="2880" w:hanging="360"/>
      </w:pPr>
    </w:lvl>
    <w:lvl w:ilvl="4" w:tplc="ACA83200">
      <w:start w:val="1"/>
      <w:numFmt w:val="bullet"/>
      <w:lvlText w:val="○"/>
      <w:lvlJc w:val="left"/>
      <w:pPr>
        <w:ind w:left="3600" w:hanging="360"/>
      </w:pPr>
    </w:lvl>
    <w:lvl w:ilvl="5" w:tplc="720825A4">
      <w:start w:val="1"/>
      <w:numFmt w:val="bullet"/>
      <w:lvlText w:val="■"/>
      <w:lvlJc w:val="left"/>
      <w:pPr>
        <w:ind w:left="4320" w:hanging="360"/>
      </w:pPr>
    </w:lvl>
    <w:lvl w:ilvl="6" w:tplc="71E4A8DE">
      <w:start w:val="1"/>
      <w:numFmt w:val="bullet"/>
      <w:lvlText w:val="●"/>
      <w:lvlJc w:val="left"/>
      <w:pPr>
        <w:ind w:left="5040" w:hanging="360"/>
      </w:pPr>
    </w:lvl>
    <w:lvl w:ilvl="7" w:tplc="F9E4247C">
      <w:start w:val="1"/>
      <w:numFmt w:val="bullet"/>
      <w:lvlText w:val="●"/>
      <w:lvlJc w:val="left"/>
      <w:pPr>
        <w:ind w:left="5760" w:hanging="360"/>
      </w:pPr>
    </w:lvl>
    <w:lvl w:ilvl="8" w:tplc="2F181620">
      <w:start w:val="1"/>
      <w:numFmt w:val="bullet"/>
      <w:lvlText w:val="●"/>
      <w:lvlJc w:val="left"/>
      <w:pPr>
        <w:ind w:left="6480" w:hanging="360"/>
      </w:pPr>
    </w:lvl>
  </w:abstractNum>
  <w:abstractNum w:abstractNumId="1" w15:restartNumberingAfterBreak="0">
    <w:nsid w:val="14204AD0"/>
    <w:multiLevelType w:val="hybridMultilevel"/>
    <w:tmpl w:val="CA3ABC6C"/>
    <w:lvl w:ilvl="0" w:tplc="156E8156">
      <w:start w:val="1"/>
      <w:numFmt w:val="bullet"/>
      <w:lvlText w:val="•"/>
      <w:lvlJc w:val="left"/>
      <w:pPr>
        <w:ind w:left="720" w:hanging="360"/>
      </w:pPr>
    </w:lvl>
    <w:lvl w:ilvl="1" w:tplc="5F6E85E2">
      <w:numFmt w:val="decimal"/>
      <w:lvlText w:val=""/>
      <w:lvlJc w:val="left"/>
    </w:lvl>
    <w:lvl w:ilvl="2" w:tplc="D308773C">
      <w:numFmt w:val="decimal"/>
      <w:lvlText w:val=""/>
      <w:lvlJc w:val="left"/>
    </w:lvl>
    <w:lvl w:ilvl="3" w:tplc="BB7E886C">
      <w:numFmt w:val="decimal"/>
      <w:lvlText w:val=""/>
      <w:lvlJc w:val="left"/>
    </w:lvl>
    <w:lvl w:ilvl="4" w:tplc="F6CC8DD6">
      <w:numFmt w:val="decimal"/>
      <w:lvlText w:val=""/>
      <w:lvlJc w:val="left"/>
    </w:lvl>
    <w:lvl w:ilvl="5" w:tplc="B49898B0">
      <w:numFmt w:val="decimal"/>
      <w:lvlText w:val=""/>
      <w:lvlJc w:val="left"/>
    </w:lvl>
    <w:lvl w:ilvl="6" w:tplc="37786542">
      <w:numFmt w:val="decimal"/>
      <w:lvlText w:val=""/>
      <w:lvlJc w:val="left"/>
    </w:lvl>
    <w:lvl w:ilvl="7" w:tplc="07326034">
      <w:numFmt w:val="decimal"/>
      <w:lvlText w:val=""/>
      <w:lvlJc w:val="left"/>
    </w:lvl>
    <w:lvl w:ilvl="8" w:tplc="2146D68A">
      <w:numFmt w:val="decimal"/>
      <w:lvlText w:val=""/>
      <w:lvlJc w:val="left"/>
    </w:lvl>
  </w:abstractNum>
  <w:num w:numId="1" w16cid:durableId="97915381">
    <w:abstractNumId w:val="0"/>
    <w:lvlOverride w:ilvl="0">
      <w:startOverride w:val="1"/>
    </w:lvlOverride>
  </w:num>
  <w:num w:numId="2" w16cid:durableId="26581704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isplayBackgroundShap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26B"/>
    <w:rsid w:val="003C2545"/>
    <w:rsid w:val="0059726B"/>
    <w:rsid w:val="006F55D0"/>
    <w:rsid w:val="008473C0"/>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4:docId w14:val="67CEB35C"/>
  <w15:docId w15:val="{163A68A1-32BC-C944-994B-39E51C270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CA" w:eastAsia="fr-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outlineLvl w:val="0"/>
    </w:pPr>
    <w:rPr>
      <w:color w:val="2E74B5"/>
      <w:sz w:val="32"/>
      <w:szCs w:val="32"/>
    </w:rPr>
  </w:style>
  <w:style w:type="paragraph" w:styleId="Titre2">
    <w:name w:val="heading 2"/>
    <w:uiPriority w:val="9"/>
    <w:unhideWhenUsed/>
    <w:qFormat/>
    <w:pPr>
      <w:outlineLvl w:val="1"/>
    </w:pPr>
    <w:rPr>
      <w:color w:val="2E74B5"/>
      <w:sz w:val="26"/>
      <w:szCs w:val="26"/>
    </w:rPr>
  </w:style>
  <w:style w:type="paragraph" w:styleId="Titre3">
    <w:name w:val="heading 3"/>
    <w:uiPriority w:val="9"/>
    <w:semiHidden/>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Hyperlien">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1089</Words>
  <Characters>7421</Characters>
  <Application>Microsoft Office Word</Application>
  <DocSecurity>0</DocSecurity>
  <Lines>255</Lines>
  <Paragraphs>177</Paragraphs>
  <ScaleCrop>false</ScaleCrop>
  <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Olivier Abrivard</cp:lastModifiedBy>
  <cp:revision>2</cp:revision>
  <dcterms:created xsi:type="dcterms:W3CDTF">2026-03-04T08:50:00Z</dcterms:created>
  <dcterms:modified xsi:type="dcterms:W3CDTF">2026-03-04T14:45:00Z</dcterms:modified>
</cp:coreProperties>
</file>